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E5934E" w14:textId="77777777" w:rsidR="0070185C" w:rsidRDefault="0070185C" w:rsidP="0070185C">
      <w:pPr>
        <w:pStyle w:val="a9"/>
        <w:spacing w:line="340" w:lineRule="atLeast"/>
        <w:ind w:firstLineChars="0" w:firstLine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 w:rsidR="00B71259">
        <w:rPr>
          <w:rFonts w:ascii="Times New Roman" w:eastAsia="黑体" w:hAnsi="Times New Roman" w:hint="eastAsia"/>
          <w:sz w:val="32"/>
          <w:szCs w:val="32"/>
        </w:rPr>
        <w:t>1</w:t>
      </w:r>
    </w:p>
    <w:p w14:paraId="7F50CC4F" w14:textId="2E22F78F" w:rsidR="0070185C" w:rsidRPr="00F0586A" w:rsidRDefault="0070185C" w:rsidP="00BC7E83">
      <w:pPr>
        <w:spacing w:afterLines="50" w:after="156" w:line="560" w:lineRule="exact"/>
        <w:jc w:val="center"/>
        <w:rPr>
          <w:rFonts w:ascii="黑体" w:eastAsia="黑体" w:hAnsi="黑体" w:cs="方正小标宋_GBK"/>
          <w:bCs/>
          <w:sz w:val="32"/>
          <w:szCs w:val="32"/>
        </w:rPr>
      </w:pPr>
      <w:proofErr w:type="gramStart"/>
      <w:r w:rsidRPr="00F0586A">
        <w:rPr>
          <w:rFonts w:ascii="黑体" w:eastAsia="黑体" w:hAnsi="黑体" w:cs="方正小标宋_GBK" w:hint="eastAsia"/>
          <w:bCs/>
          <w:sz w:val="32"/>
          <w:szCs w:val="32"/>
        </w:rPr>
        <w:t>课程思政示范</w:t>
      </w:r>
      <w:proofErr w:type="gramEnd"/>
      <w:r w:rsidRPr="00F0586A">
        <w:rPr>
          <w:rFonts w:ascii="黑体" w:eastAsia="黑体" w:hAnsi="黑体" w:cs="方正小标宋_GBK" w:hint="eastAsia"/>
          <w:bCs/>
          <w:sz w:val="32"/>
          <w:szCs w:val="32"/>
        </w:rPr>
        <w:t>课程验收标准</w:t>
      </w:r>
    </w:p>
    <w:tbl>
      <w:tblPr>
        <w:tblW w:w="13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98"/>
        <w:gridCol w:w="7910"/>
        <w:gridCol w:w="3629"/>
      </w:tblGrid>
      <w:tr w:rsidR="0070185C" w:rsidRPr="0072681F" w14:paraId="360139D3" w14:textId="77777777" w:rsidTr="00C93CA7">
        <w:trPr>
          <w:tblHeader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59BADCA6" w14:textId="77777777" w:rsidR="0070185C" w:rsidRPr="0072681F" w:rsidRDefault="0070185C" w:rsidP="00B71259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72681F">
              <w:rPr>
                <w:b/>
                <w:szCs w:val="21"/>
              </w:rPr>
              <w:t>验收要点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70AFA026" w14:textId="77777777" w:rsidR="0070185C" w:rsidRPr="0072681F" w:rsidRDefault="0070185C" w:rsidP="00B71259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72681F">
              <w:rPr>
                <w:b/>
                <w:szCs w:val="21"/>
              </w:rPr>
              <w:t>验收标准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1C9FB576" w14:textId="77777777" w:rsidR="0070185C" w:rsidRPr="0072681F" w:rsidRDefault="0070185C" w:rsidP="00B71259">
            <w:pPr>
              <w:spacing w:beforeLines="20" w:before="62" w:afterLines="20" w:after="62"/>
              <w:jc w:val="center"/>
              <w:rPr>
                <w:b/>
                <w:szCs w:val="21"/>
              </w:rPr>
            </w:pPr>
            <w:r w:rsidRPr="0072681F">
              <w:rPr>
                <w:b/>
                <w:szCs w:val="21"/>
              </w:rPr>
              <w:t>准备材料</w:t>
            </w:r>
          </w:p>
        </w:tc>
      </w:tr>
      <w:tr w:rsidR="0070185C" w:rsidRPr="0072681F" w14:paraId="17B02A2E" w14:textId="77777777" w:rsidTr="00C93CA7">
        <w:trPr>
          <w:trHeight w:val="1318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681411D7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szCs w:val="21"/>
              </w:rPr>
              <w:t>1.</w:t>
            </w:r>
            <w:r w:rsidRPr="0072681F">
              <w:rPr>
                <w:szCs w:val="21"/>
              </w:rPr>
              <w:t>课程</w:t>
            </w:r>
            <w:proofErr w:type="gramStart"/>
            <w:r w:rsidRPr="0072681F">
              <w:rPr>
                <w:szCs w:val="21"/>
              </w:rPr>
              <w:t>的思政元素</w:t>
            </w:r>
            <w:proofErr w:type="gramEnd"/>
            <w:r w:rsidRPr="0072681F">
              <w:rPr>
                <w:szCs w:val="21"/>
              </w:rPr>
              <w:t>挖掘及体系化设计情况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64FD5C2A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</w:rPr>
              <w:t>1.1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结合所在学科专业、所属课程类型的育人要求和特点，清楚说明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课程思政的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建设思路，体系化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设计整门课程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蕴含的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思政教育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资源，课程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思政内容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丰富，形式多样。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66C5A926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  <w:shd w:val="clear" w:color="auto" w:fill="FFFFFF"/>
              </w:rPr>
            </w:pPr>
            <w:r w:rsidRPr="0072681F">
              <w:rPr>
                <w:rFonts w:hint="eastAsia"/>
                <w:szCs w:val="21"/>
                <w:shd w:val="clear" w:color="auto" w:fill="FFFFFF"/>
              </w:rPr>
              <w:t>1</w:t>
            </w:r>
            <w:r w:rsidRPr="0072681F">
              <w:rPr>
                <w:szCs w:val="21"/>
                <w:shd w:val="clear" w:color="auto" w:fill="FFFFFF"/>
              </w:rPr>
              <w:t>.</w:t>
            </w:r>
            <w:proofErr w:type="gramStart"/>
            <w:r w:rsidRPr="0072681F">
              <w:rPr>
                <w:szCs w:val="21"/>
                <w:shd w:val="clear" w:color="auto" w:fill="FFFFFF"/>
              </w:rPr>
              <w:t>课程思政元素</w:t>
            </w:r>
            <w:proofErr w:type="gramEnd"/>
            <w:r w:rsidRPr="0072681F">
              <w:rPr>
                <w:szCs w:val="21"/>
                <w:shd w:val="clear" w:color="auto" w:fill="FFFFFF"/>
              </w:rPr>
              <w:t>挖掘及设计说明。</w:t>
            </w:r>
          </w:p>
          <w:p w14:paraId="47F6F43D" w14:textId="77777777" w:rsidR="0070185C" w:rsidRPr="00CB5A27" w:rsidRDefault="0070185C" w:rsidP="00C93CA7">
            <w:pPr>
              <w:pStyle w:val="a0"/>
              <w:ind w:firstLineChars="0" w:firstLine="0"/>
            </w:pPr>
            <w:r>
              <w:rPr>
                <w:rFonts w:hint="eastAsia"/>
              </w:rPr>
              <w:t>2</w:t>
            </w:r>
            <w:r>
              <w:t>.</w:t>
            </w:r>
            <w:r>
              <w:rPr>
                <w:rFonts w:hint="eastAsia"/>
              </w:rPr>
              <w:t>课程</w:t>
            </w:r>
            <w:proofErr w:type="gramStart"/>
            <w:r>
              <w:rPr>
                <w:rFonts w:hint="eastAsia"/>
              </w:rPr>
              <w:t>思政教学</w:t>
            </w:r>
            <w:proofErr w:type="gramEnd"/>
            <w:r>
              <w:rPr>
                <w:rFonts w:hint="eastAsia"/>
              </w:rPr>
              <w:t>设计案例至少</w:t>
            </w:r>
            <w:r>
              <w:t>4</w:t>
            </w:r>
            <w:r>
              <w:rPr>
                <w:rFonts w:hint="eastAsia"/>
              </w:rPr>
              <w:t>个。</w:t>
            </w:r>
          </w:p>
          <w:p w14:paraId="6804B567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szCs w:val="21"/>
                <w:shd w:val="clear" w:color="auto" w:fill="FFFFFF"/>
              </w:rPr>
              <w:t>3.</w:t>
            </w:r>
            <w:r w:rsidRPr="0072681F">
              <w:rPr>
                <w:rFonts w:hint="eastAsia"/>
                <w:szCs w:val="21"/>
                <w:shd w:val="clear" w:color="auto" w:fill="FFFFFF"/>
              </w:rPr>
              <w:t>在</w:t>
            </w:r>
            <w:proofErr w:type="gramStart"/>
            <w:r w:rsidRPr="0072681F">
              <w:rPr>
                <w:rFonts w:hint="eastAsia"/>
                <w:szCs w:val="21"/>
                <w:shd w:val="clear" w:color="auto" w:fill="FFFFFF"/>
              </w:rPr>
              <w:t>学校超星泛雅</w:t>
            </w:r>
            <w:proofErr w:type="gramEnd"/>
            <w:r w:rsidRPr="0072681F">
              <w:rPr>
                <w:rFonts w:hint="eastAsia"/>
                <w:szCs w:val="21"/>
                <w:shd w:val="clear" w:color="auto" w:fill="FFFFFF"/>
              </w:rPr>
              <w:t>平台建设课程</w:t>
            </w:r>
            <w:proofErr w:type="gramStart"/>
            <w:r w:rsidRPr="0072681F">
              <w:rPr>
                <w:rFonts w:hint="eastAsia"/>
                <w:szCs w:val="21"/>
                <w:shd w:val="clear" w:color="auto" w:fill="FFFFFF"/>
              </w:rPr>
              <w:t>思政教学</w:t>
            </w:r>
            <w:proofErr w:type="gramEnd"/>
            <w:r w:rsidRPr="0072681F">
              <w:rPr>
                <w:rFonts w:hint="eastAsia"/>
                <w:szCs w:val="21"/>
                <w:shd w:val="clear" w:color="auto" w:fill="FFFFFF"/>
              </w:rPr>
              <w:t>资料，或在原课程网站的基础上完善包含</w:t>
            </w:r>
            <w:proofErr w:type="gramStart"/>
            <w:r w:rsidRPr="0072681F">
              <w:rPr>
                <w:rFonts w:hint="eastAsia"/>
                <w:szCs w:val="21"/>
                <w:shd w:val="clear" w:color="auto" w:fill="FFFFFF"/>
              </w:rPr>
              <w:t>思政内容</w:t>
            </w:r>
            <w:proofErr w:type="gramEnd"/>
            <w:r w:rsidRPr="0072681F">
              <w:rPr>
                <w:rFonts w:hint="eastAsia"/>
                <w:szCs w:val="21"/>
                <w:shd w:val="clear" w:color="auto" w:fill="FFFFFF"/>
              </w:rPr>
              <w:t>的相关章节。</w:t>
            </w:r>
          </w:p>
        </w:tc>
      </w:tr>
      <w:tr w:rsidR="0070185C" w:rsidRPr="0072681F" w14:paraId="39A12410" w14:textId="77777777" w:rsidTr="00C93CA7">
        <w:trPr>
          <w:trHeight w:val="2252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5C4EE08E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szCs w:val="21"/>
              </w:rPr>
              <w:t>2.</w:t>
            </w:r>
            <w:r w:rsidRPr="0072681F">
              <w:rPr>
                <w:szCs w:val="21"/>
              </w:rPr>
              <w:t>教学大纲修订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59098A1E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2.1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在本课程原教学大纲基础上修订教学大纲，注重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思政教育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与专业教育的有机衔接和融合。</w:t>
            </w:r>
          </w:p>
          <w:p w14:paraId="5E047544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2.2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新教学大纲须确立价值塑造、能力培养、知识传授三位一体的课程目标，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思政目标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描述清晰准确，与知识、能力目标有机衔接。</w:t>
            </w:r>
          </w:p>
          <w:p w14:paraId="6C139FC5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2.3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新教学大纲教学内容要体现思想性、前沿性与时代性，教学方法要体现先进性、互动性与针对性。</w:t>
            </w:r>
          </w:p>
          <w:p w14:paraId="47E54240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2.4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新教学大纲要求从知识教学向情感态度价值观教育的转换自然和谐；能够有效使用各种教学方法和手段；能够潜移默化地对学生的思想认识、行为举止产生积极影响。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412B6A7D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szCs w:val="21"/>
              </w:rPr>
              <w:t>修订后的教学大纲</w:t>
            </w:r>
            <w:r w:rsidRPr="0072681F">
              <w:rPr>
                <w:rFonts w:hint="eastAsia"/>
                <w:szCs w:val="21"/>
              </w:rPr>
              <w:t>。</w:t>
            </w:r>
          </w:p>
        </w:tc>
      </w:tr>
      <w:tr w:rsidR="0070185C" w:rsidRPr="0072681F" w14:paraId="72A2E60B" w14:textId="77777777" w:rsidTr="00C93CA7">
        <w:trPr>
          <w:trHeight w:val="576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75F14DCE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3.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教案或课件编制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4542C96D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3.1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根据修订后的教学大纲编制能体现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“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课程思政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”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特点的新课件或新教案。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2E364286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新教案或新课件</w:t>
            </w:r>
            <w:r w:rsidRPr="0072681F">
              <w:rPr>
                <w:rFonts w:ascii="Times New Roman" w:hAnsi="Times New Roman" w:hint="eastAsia"/>
                <w:sz w:val="21"/>
                <w:szCs w:val="21"/>
                <w:shd w:val="clear" w:color="auto" w:fill="FFFFFF"/>
              </w:rPr>
              <w:t>。</w:t>
            </w:r>
          </w:p>
        </w:tc>
      </w:tr>
      <w:tr w:rsidR="0070185C" w:rsidRPr="0072681F" w14:paraId="1E47999A" w14:textId="77777777" w:rsidTr="00C93CA7">
        <w:trPr>
          <w:trHeight w:val="1240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6E602C41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4.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教学资料选用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7A8EA7FB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4.1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根据教学大纲选用国内外优秀教材或高水平自编教材；</w:t>
            </w:r>
          </w:p>
          <w:p w14:paraId="4DCF3774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4.2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为学生自主学习提供了丰富有效的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课程思政文献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资料；</w:t>
            </w:r>
          </w:p>
          <w:p w14:paraId="218F2CF1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4.3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有可行的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课程思政实验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教材和教学辅助材料，满足教学需要。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0CBBDE30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与课程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思政教育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相关的教学资料。</w:t>
            </w:r>
          </w:p>
        </w:tc>
      </w:tr>
      <w:tr w:rsidR="0070185C" w:rsidRPr="0072681F" w14:paraId="7B4555BE" w14:textId="77777777" w:rsidTr="00C93CA7">
        <w:trPr>
          <w:trHeight w:val="721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3BDC6B55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szCs w:val="21"/>
              </w:rPr>
              <w:lastRenderedPageBreak/>
              <w:t>5.</w:t>
            </w:r>
            <w:r w:rsidRPr="0072681F">
              <w:rPr>
                <w:szCs w:val="21"/>
              </w:rPr>
              <w:t>教学团队教研、培训及获奖情况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120E732C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5.1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课程教学团队集体教研制度完善且有效开展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课程思政建设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教学研究和交流；</w:t>
            </w:r>
          </w:p>
          <w:p w14:paraId="4F6529E9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5.2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课程教学团队成员在院内开展过至少１次公开示范课；</w:t>
            </w:r>
          </w:p>
          <w:p w14:paraId="7705C20F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5.3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课程教学团队成员参加校内外课程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思政教学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比赛获奖（校外获奖可抵另外２条）</w:t>
            </w:r>
            <w:r w:rsidRPr="0072681F">
              <w:rPr>
                <w:rFonts w:ascii="Times New Roman" w:hAnsi="Times New Roman" w:hint="eastAsia"/>
                <w:sz w:val="21"/>
                <w:szCs w:val="21"/>
                <w:shd w:val="clear" w:color="auto" w:fill="FFFFFF"/>
              </w:rPr>
              <w:t>。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32F2A14D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rFonts w:hint="eastAsia"/>
                <w:szCs w:val="21"/>
              </w:rPr>
              <w:t>1</w:t>
            </w:r>
            <w:r w:rsidRPr="0072681F">
              <w:rPr>
                <w:szCs w:val="21"/>
              </w:rPr>
              <w:t>.</w:t>
            </w:r>
            <w:r w:rsidRPr="0072681F">
              <w:rPr>
                <w:szCs w:val="21"/>
              </w:rPr>
              <w:t>课程教学团队集体教研情况</w:t>
            </w:r>
            <w:r w:rsidRPr="0072681F">
              <w:rPr>
                <w:rFonts w:hint="eastAsia"/>
                <w:szCs w:val="21"/>
              </w:rPr>
              <w:t>。</w:t>
            </w:r>
          </w:p>
          <w:p w14:paraId="2122D786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  <w:shd w:val="clear" w:color="auto" w:fill="FFFFFF"/>
              </w:rPr>
            </w:pPr>
            <w:r w:rsidRPr="0072681F">
              <w:rPr>
                <w:rFonts w:hint="eastAsia"/>
                <w:szCs w:val="21"/>
              </w:rPr>
              <w:t>2</w:t>
            </w:r>
            <w:r w:rsidRPr="0072681F">
              <w:rPr>
                <w:szCs w:val="21"/>
              </w:rPr>
              <w:t>.</w:t>
            </w:r>
            <w:r w:rsidRPr="0072681F">
              <w:rPr>
                <w:szCs w:val="21"/>
                <w:shd w:val="clear" w:color="auto" w:fill="FFFFFF"/>
              </w:rPr>
              <w:t>开展</w:t>
            </w:r>
            <w:proofErr w:type="gramStart"/>
            <w:r w:rsidRPr="0072681F">
              <w:rPr>
                <w:szCs w:val="21"/>
                <w:shd w:val="clear" w:color="auto" w:fill="FFFFFF"/>
              </w:rPr>
              <w:t>课程思政公开课</w:t>
            </w:r>
            <w:proofErr w:type="gramEnd"/>
            <w:r w:rsidRPr="0072681F">
              <w:rPr>
                <w:szCs w:val="21"/>
                <w:shd w:val="clear" w:color="auto" w:fill="FFFFFF"/>
              </w:rPr>
              <w:t>的证明材料</w:t>
            </w:r>
            <w:r w:rsidRPr="0072681F">
              <w:rPr>
                <w:rFonts w:hint="eastAsia"/>
                <w:szCs w:val="21"/>
                <w:shd w:val="clear" w:color="auto" w:fill="FFFFFF"/>
              </w:rPr>
              <w:t>。</w:t>
            </w:r>
          </w:p>
          <w:p w14:paraId="50B2ED45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rFonts w:hint="eastAsia"/>
                <w:szCs w:val="21"/>
                <w:shd w:val="clear" w:color="auto" w:fill="FFFFFF"/>
              </w:rPr>
              <w:t>3</w:t>
            </w:r>
            <w:r w:rsidRPr="0072681F">
              <w:rPr>
                <w:szCs w:val="21"/>
                <w:shd w:val="clear" w:color="auto" w:fill="FFFFFF"/>
              </w:rPr>
              <w:t>.</w:t>
            </w:r>
            <w:r w:rsidRPr="0072681F">
              <w:rPr>
                <w:szCs w:val="21"/>
                <w:shd w:val="clear" w:color="auto" w:fill="FFFFFF"/>
              </w:rPr>
              <w:t>课程</w:t>
            </w:r>
            <w:proofErr w:type="gramStart"/>
            <w:r w:rsidRPr="0072681F">
              <w:rPr>
                <w:szCs w:val="21"/>
                <w:shd w:val="clear" w:color="auto" w:fill="FFFFFF"/>
              </w:rPr>
              <w:t>思政教学</w:t>
            </w:r>
            <w:proofErr w:type="gramEnd"/>
            <w:r w:rsidRPr="0072681F">
              <w:rPr>
                <w:szCs w:val="21"/>
                <w:shd w:val="clear" w:color="auto" w:fill="FFFFFF"/>
              </w:rPr>
              <w:t>比赛获奖证明。</w:t>
            </w:r>
          </w:p>
        </w:tc>
      </w:tr>
      <w:tr w:rsidR="0070185C" w:rsidRPr="0072681F" w14:paraId="5A57A45A" w14:textId="77777777" w:rsidTr="00C93CA7">
        <w:trPr>
          <w:trHeight w:val="937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2DF74685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szCs w:val="21"/>
              </w:rPr>
              <w:t>6.</w:t>
            </w:r>
            <w:r w:rsidRPr="0072681F">
              <w:rPr>
                <w:szCs w:val="21"/>
              </w:rPr>
              <w:t>教学评价情况</w:t>
            </w:r>
          </w:p>
        </w:tc>
        <w:tc>
          <w:tcPr>
            <w:tcW w:w="2879" w:type="pct"/>
            <w:shd w:val="clear" w:color="auto" w:fill="auto"/>
            <w:vAlign w:val="center"/>
          </w:tcPr>
          <w:p w14:paraId="025936C2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6.1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校内（外）同行专家评价良好。</w:t>
            </w:r>
          </w:p>
          <w:p w14:paraId="33966D2B" w14:textId="77777777" w:rsidR="0070185C" w:rsidRPr="0072681F" w:rsidRDefault="0070185C" w:rsidP="00B71259">
            <w:pPr>
              <w:pStyle w:val="a8"/>
              <w:shd w:val="clear" w:color="auto" w:fill="FFFFFF"/>
              <w:spacing w:beforeLines="20" w:before="62" w:afterLines="20" w:after="62"/>
              <w:jc w:val="both"/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</w:pP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6.2</w:t>
            </w:r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学生对</w:t>
            </w:r>
            <w:proofErr w:type="gramStart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课程思政的</w:t>
            </w:r>
            <w:proofErr w:type="gramEnd"/>
            <w:r w:rsidRPr="0072681F">
              <w:rPr>
                <w:rFonts w:ascii="Times New Roman" w:hAnsi="Times New Roman"/>
                <w:sz w:val="21"/>
                <w:szCs w:val="21"/>
                <w:shd w:val="clear" w:color="auto" w:fill="FFFFFF"/>
              </w:rPr>
              <w:t>教学效果反馈良好</w:t>
            </w:r>
          </w:p>
        </w:tc>
        <w:tc>
          <w:tcPr>
            <w:tcW w:w="1321" w:type="pct"/>
            <w:shd w:val="clear" w:color="auto" w:fill="auto"/>
            <w:vAlign w:val="center"/>
          </w:tcPr>
          <w:p w14:paraId="2CE6E969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rFonts w:hint="eastAsia"/>
                <w:szCs w:val="21"/>
              </w:rPr>
              <w:t>1</w:t>
            </w:r>
            <w:r w:rsidRPr="0072681F">
              <w:rPr>
                <w:szCs w:val="21"/>
              </w:rPr>
              <w:t>.</w:t>
            </w:r>
            <w:r w:rsidRPr="0072681F">
              <w:rPr>
                <w:szCs w:val="21"/>
              </w:rPr>
              <w:t>建设期内</w:t>
            </w:r>
            <w:r w:rsidRPr="0072681F">
              <w:rPr>
                <w:rFonts w:hint="eastAsia"/>
                <w:szCs w:val="21"/>
              </w:rPr>
              <w:t>学</w:t>
            </w:r>
            <w:r w:rsidRPr="0072681F">
              <w:rPr>
                <w:szCs w:val="21"/>
              </w:rPr>
              <w:t>院领导</w:t>
            </w:r>
            <w:r w:rsidRPr="0072681F">
              <w:rPr>
                <w:rFonts w:hint="eastAsia"/>
                <w:szCs w:val="21"/>
              </w:rPr>
              <w:t>或</w:t>
            </w:r>
            <w:r w:rsidRPr="0072681F">
              <w:rPr>
                <w:szCs w:val="21"/>
              </w:rPr>
              <w:t>教学指导委员会</w:t>
            </w:r>
            <w:r w:rsidRPr="0072681F">
              <w:rPr>
                <w:rFonts w:hint="eastAsia"/>
                <w:szCs w:val="21"/>
              </w:rPr>
              <w:t>听课评价至少</w:t>
            </w:r>
            <w:r w:rsidRPr="0072681F">
              <w:rPr>
                <w:rFonts w:hint="eastAsia"/>
                <w:szCs w:val="21"/>
              </w:rPr>
              <w:t>1</w:t>
            </w:r>
            <w:r w:rsidRPr="0072681F">
              <w:rPr>
                <w:rFonts w:hint="eastAsia"/>
                <w:szCs w:val="21"/>
              </w:rPr>
              <w:t>份。</w:t>
            </w:r>
          </w:p>
          <w:p w14:paraId="31952302" w14:textId="77777777" w:rsidR="0070185C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rFonts w:hint="eastAsia"/>
                <w:szCs w:val="21"/>
              </w:rPr>
              <w:t>2</w:t>
            </w:r>
            <w:r w:rsidRPr="0072681F">
              <w:rPr>
                <w:szCs w:val="21"/>
              </w:rPr>
              <w:t>.</w:t>
            </w:r>
            <w:r w:rsidRPr="0072681F">
              <w:rPr>
                <w:rFonts w:hint="eastAsia"/>
                <w:szCs w:val="21"/>
              </w:rPr>
              <w:t>校级督导员</w:t>
            </w:r>
            <w:r w:rsidRPr="0072681F">
              <w:rPr>
                <w:szCs w:val="21"/>
              </w:rPr>
              <w:t>听课</w:t>
            </w:r>
            <w:r w:rsidRPr="0072681F">
              <w:rPr>
                <w:rFonts w:hint="eastAsia"/>
                <w:szCs w:val="21"/>
              </w:rPr>
              <w:t>评价至少</w:t>
            </w:r>
            <w:r w:rsidRPr="0072681F">
              <w:rPr>
                <w:rFonts w:hint="eastAsia"/>
                <w:szCs w:val="21"/>
              </w:rPr>
              <w:t>1</w:t>
            </w:r>
            <w:r w:rsidRPr="0072681F">
              <w:rPr>
                <w:rFonts w:hint="eastAsia"/>
                <w:szCs w:val="21"/>
              </w:rPr>
              <w:t>份</w:t>
            </w:r>
            <w:r w:rsidRPr="0072681F">
              <w:rPr>
                <w:szCs w:val="21"/>
              </w:rPr>
              <w:t>；</w:t>
            </w:r>
          </w:p>
          <w:p w14:paraId="416CD09A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rFonts w:hint="eastAsia"/>
                <w:szCs w:val="21"/>
              </w:rPr>
              <w:t>3</w:t>
            </w:r>
            <w:r w:rsidRPr="0072681F">
              <w:rPr>
                <w:szCs w:val="21"/>
              </w:rPr>
              <w:t>.</w:t>
            </w:r>
            <w:r w:rsidRPr="0072681F">
              <w:rPr>
                <w:rFonts w:hint="eastAsia"/>
                <w:szCs w:val="21"/>
              </w:rPr>
              <w:t>至少</w:t>
            </w:r>
            <w:r w:rsidRPr="0072681F">
              <w:rPr>
                <w:rFonts w:hint="eastAsia"/>
                <w:szCs w:val="21"/>
              </w:rPr>
              <w:t>2</w:t>
            </w:r>
            <w:r w:rsidRPr="0072681F">
              <w:rPr>
                <w:rFonts w:hint="eastAsia"/>
                <w:szCs w:val="21"/>
              </w:rPr>
              <w:t>个学期的教务系统学生评教结果。</w:t>
            </w:r>
          </w:p>
          <w:p w14:paraId="068B8BBA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szCs w:val="21"/>
              </w:rPr>
              <w:t>4.</w:t>
            </w:r>
            <w:r w:rsidRPr="0072681F">
              <w:rPr>
                <w:szCs w:val="21"/>
              </w:rPr>
              <w:t>学生的反馈及感悟</w:t>
            </w:r>
            <w:r w:rsidRPr="0072681F">
              <w:rPr>
                <w:rFonts w:hint="eastAsia"/>
                <w:szCs w:val="21"/>
              </w:rPr>
              <w:t>若干份。</w:t>
            </w:r>
          </w:p>
          <w:p w14:paraId="327C01A3" w14:textId="77777777" w:rsidR="0070185C" w:rsidRPr="0072681F" w:rsidRDefault="0070185C" w:rsidP="00B71259">
            <w:pPr>
              <w:spacing w:beforeLines="20" w:before="62" w:afterLines="20" w:after="62"/>
              <w:jc w:val="left"/>
              <w:rPr>
                <w:szCs w:val="21"/>
              </w:rPr>
            </w:pPr>
            <w:r w:rsidRPr="0072681F">
              <w:rPr>
                <w:szCs w:val="21"/>
              </w:rPr>
              <w:t>5.</w:t>
            </w:r>
            <w:r w:rsidRPr="0072681F">
              <w:rPr>
                <w:szCs w:val="21"/>
              </w:rPr>
              <w:t>校内</w:t>
            </w:r>
            <w:r w:rsidRPr="0072681F">
              <w:rPr>
                <w:rFonts w:hint="eastAsia"/>
                <w:szCs w:val="21"/>
              </w:rPr>
              <w:t>（</w:t>
            </w:r>
            <w:r w:rsidRPr="0072681F">
              <w:rPr>
                <w:szCs w:val="21"/>
              </w:rPr>
              <w:t>外</w:t>
            </w:r>
            <w:r w:rsidRPr="0072681F">
              <w:rPr>
                <w:rFonts w:hint="eastAsia"/>
                <w:szCs w:val="21"/>
              </w:rPr>
              <w:t>）</w:t>
            </w:r>
            <w:r w:rsidRPr="0072681F">
              <w:rPr>
                <w:szCs w:val="21"/>
              </w:rPr>
              <w:t>同行评价资料等。</w:t>
            </w:r>
          </w:p>
        </w:tc>
      </w:tr>
    </w:tbl>
    <w:p w14:paraId="5E4E596D" w14:textId="0DCDDBA7" w:rsidR="000A0070" w:rsidRPr="0070185C" w:rsidRDefault="0070185C" w:rsidP="00143703">
      <w:pPr>
        <w:spacing w:line="560" w:lineRule="exact"/>
        <w:jc w:val="left"/>
      </w:pPr>
      <w:r w:rsidRPr="007A55AA">
        <w:rPr>
          <w:rFonts w:ascii="仿宋" w:eastAsia="仿宋" w:hAnsi="仿宋" w:hint="eastAsia"/>
          <w:b/>
          <w:bCs/>
          <w:sz w:val="24"/>
        </w:rPr>
        <w:t>注：验收标准中涉及到的所有内容均须提供证明材料，格式不限，特别注意课程建设</w:t>
      </w:r>
      <w:proofErr w:type="gramStart"/>
      <w:r w:rsidRPr="007A55AA">
        <w:rPr>
          <w:rFonts w:ascii="仿宋" w:eastAsia="仿宋" w:hAnsi="仿宋" w:hint="eastAsia"/>
          <w:b/>
          <w:bCs/>
          <w:sz w:val="24"/>
        </w:rPr>
        <w:t>中过程</w:t>
      </w:r>
      <w:proofErr w:type="gramEnd"/>
      <w:r w:rsidRPr="007A55AA">
        <w:rPr>
          <w:rFonts w:ascii="仿宋" w:eastAsia="仿宋" w:hAnsi="仿宋" w:hint="eastAsia"/>
          <w:b/>
          <w:bCs/>
          <w:sz w:val="24"/>
        </w:rPr>
        <w:t>性材料的收集、整理、保存。</w:t>
      </w:r>
    </w:p>
    <w:sectPr w:rsidR="000A0070" w:rsidRPr="0070185C" w:rsidSect="008779BC">
      <w:headerReference w:type="default" r:id="rId6"/>
      <w:footerReference w:type="default" r:id="rId7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9F8E3" w14:textId="77777777" w:rsidR="005A7011" w:rsidRDefault="005A7011" w:rsidP="0070185C">
      <w:r>
        <w:separator/>
      </w:r>
    </w:p>
  </w:endnote>
  <w:endnote w:type="continuationSeparator" w:id="0">
    <w:p w14:paraId="14A7E10C" w14:textId="77777777" w:rsidR="005A7011" w:rsidRDefault="005A7011" w:rsidP="00701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9A783" w14:textId="77777777" w:rsidR="0070185C" w:rsidRDefault="00000000">
    <w:pPr>
      <w:pStyle w:val="a6"/>
    </w:pPr>
    <w:r>
      <w:rPr>
        <w:noProof/>
      </w:rPr>
      <w:pict w14:anchorId="32CAB76D"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1025" type="#_x0000_t202" style="position:absolute;margin-left:-136.85pt;margin-top:0;width:30.05pt;height:15.55pt;z-index:251659264;visibility:visible;mso-wrap-style:none;mso-position-horizontal:outsid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" filled="f" stroked="f">
          <v:textbox style="mso-fit-shape-to-text:t" inset="0,0,0,0">
            <w:txbxContent>
              <w:p w14:paraId="25EB8DBE" w14:textId="77777777" w:rsidR="0070185C" w:rsidRDefault="00324A02">
                <w:pPr>
                  <w:pStyle w:val="a6"/>
                  <w:rPr>
                    <w:rFonts w:ascii="宋体" w:hAnsi="宋体" w:cs="宋体"/>
                    <w:sz w:val="24"/>
                    <w:szCs w:val="24"/>
                  </w:rPr>
                </w:pPr>
                <w:r>
                  <w:rPr>
                    <w:rFonts w:ascii="宋体" w:hAnsi="宋体" w:cs="宋体" w:hint="eastAsia"/>
                    <w:sz w:val="24"/>
                    <w:szCs w:val="24"/>
                  </w:rPr>
                  <w:fldChar w:fldCharType="begin"/>
                </w:r>
                <w:r w:rsidR="0070185C">
                  <w:rPr>
                    <w:rFonts w:ascii="宋体" w:hAnsi="宋体" w:cs="宋体" w:hint="eastAsia"/>
                    <w:sz w:val="24"/>
                    <w:szCs w:val="24"/>
                  </w:rPr>
                  <w:instrText xml:space="preserve"> PAGE  \* MERGEFORMAT </w:instrText>
                </w:r>
                <w:r>
                  <w:rPr>
                    <w:rFonts w:ascii="宋体" w:hAnsi="宋体" w:cs="宋体" w:hint="eastAsia"/>
                    <w:sz w:val="24"/>
                    <w:szCs w:val="24"/>
                  </w:rPr>
                  <w:fldChar w:fldCharType="separate"/>
                </w:r>
                <w:r w:rsidR="00B71259">
                  <w:rPr>
                    <w:rFonts w:ascii="宋体" w:hAnsi="宋体" w:cs="宋体"/>
                    <w:noProof/>
                    <w:sz w:val="24"/>
                    <w:szCs w:val="24"/>
                  </w:rPr>
                  <w:t>- 1 -</w:t>
                </w:r>
                <w:r>
                  <w:rPr>
                    <w:rFonts w:ascii="宋体" w:hAnsi="宋体" w:cs="宋体" w:hint="eastAsia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C868C2" w14:textId="77777777" w:rsidR="005A7011" w:rsidRDefault="005A7011" w:rsidP="0070185C">
      <w:r>
        <w:separator/>
      </w:r>
    </w:p>
  </w:footnote>
  <w:footnote w:type="continuationSeparator" w:id="0">
    <w:p w14:paraId="1E0B0C50" w14:textId="77777777" w:rsidR="005A7011" w:rsidRDefault="005A7011" w:rsidP="007018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EB947" w14:textId="77777777" w:rsidR="0070185C" w:rsidRDefault="0070185C">
    <w:pPr>
      <w:pStyle w:val="1"/>
      <w:pBdr>
        <w:bottom w:val="none" w:sz="0" w:space="1" w:color="auto"/>
      </w:pBdr>
      <w:rPr>
        <w:rStyle w:val="NormalCharacte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070"/>
    <w:rsid w:val="000A0070"/>
    <w:rsid w:val="00143703"/>
    <w:rsid w:val="002C0CD3"/>
    <w:rsid w:val="00324A02"/>
    <w:rsid w:val="00431ED5"/>
    <w:rsid w:val="0046592D"/>
    <w:rsid w:val="005A7011"/>
    <w:rsid w:val="0065243F"/>
    <w:rsid w:val="0067711E"/>
    <w:rsid w:val="006D0B66"/>
    <w:rsid w:val="0070185C"/>
    <w:rsid w:val="00783450"/>
    <w:rsid w:val="007C207F"/>
    <w:rsid w:val="00867F2E"/>
    <w:rsid w:val="008779BC"/>
    <w:rsid w:val="008957C7"/>
    <w:rsid w:val="00B71259"/>
    <w:rsid w:val="00BC7E83"/>
    <w:rsid w:val="00C34C0C"/>
    <w:rsid w:val="00C47949"/>
    <w:rsid w:val="00D32BEC"/>
    <w:rsid w:val="00D564CA"/>
    <w:rsid w:val="00D87F7B"/>
    <w:rsid w:val="00DF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D7C57A"/>
  <w15:docId w15:val="{D9483145-3DB9-42BF-A04D-871F8871A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0185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unhideWhenUsed/>
    <w:rsid w:val="00701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5">
    <w:name w:val="页眉 字符"/>
    <w:basedOn w:val="a1"/>
    <w:link w:val="a4"/>
    <w:uiPriority w:val="99"/>
    <w:rsid w:val="0070185C"/>
    <w:rPr>
      <w:sz w:val="18"/>
      <w:szCs w:val="18"/>
    </w:rPr>
  </w:style>
  <w:style w:type="paragraph" w:styleId="a6">
    <w:name w:val="footer"/>
    <w:basedOn w:val="a"/>
    <w:link w:val="a7"/>
    <w:unhideWhenUsed/>
    <w:rsid w:val="0070185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7">
    <w:name w:val="页脚 字符"/>
    <w:basedOn w:val="a1"/>
    <w:link w:val="a6"/>
    <w:rsid w:val="0070185C"/>
    <w:rPr>
      <w:sz w:val="18"/>
      <w:szCs w:val="18"/>
    </w:rPr>
  </w:style>
  <w:style w:type="paragraph" w:styleId="a0">
    <w:name w:val="Normal Indent"/>
    <w:basedOn w:val="a"/>
    <w:rsid w:val="0070185C"/>
    <w:pPr>
      <w:ind w:firstLineChars="200" w:firstLine="420"/>
    </w:pPr>
  </w:style>
  <w:style w:type="paragraph" w:styleId="a8">
    <w:name w:val="Normal (Web)"/>
    <w:basedOn w:val="a"/>
    <w:rsid w:val="0070185C"/>
    <w:pPr>
      <w:jc w:val="left"/>
      <w:textAlignment w:val="baseline"/>
    </w:pPr>
    <w:rPr>
      <w:rFonts w:ascii="Calibri" w:hAnsi="Calibri"/>
      <w:kern w:val="0"/>
      <w:sz w:val="18"/>
      <w:szCs w:val="18"/>
    </w:rPr>
  </w:style>
  <w:style w:type="character" w:customStyle="1" w:styleId="NormalCharacter">
    <w:name w:val="NormalCharacter"/>
    <w:rsid w:val="0070185C"/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paragraph" w:customStyle="1" w:styleId="1">
    <w:name w:val="页眉1"/>
    <w:basedOn w:val="a"/>
    <w:rsid w:val="007018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  <w:textAlignment w:val="baseline"/>
    </w:pPr>
    <w:rPr>
      <w:sz w:val="18"/>
      <w:szCs w:val="18"/>
    </w:rPr>
  </w:style>
  <w:style w:type="paragraph" w:styleId="a9">
    <w:name w:val="List Paragraph"/>
    <w:basedOn w:val="a"/>
    <w:uiPriority w:val="34"/>
    <w:qFormat/>
    <w:rsid w:val="0070185C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jie zheng</cp:lastModifiedBy>
  <cp:revision>11</cp:revision>
  <dcterms:created xsi:type="dcterms:W3CDTF">2023-03-06T02:41:00Z</dcterms:created>
  <dcterms:modified xsi:type="dcterms:W3CDTF">2024-05-12T06:18:00Z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f18eea4429c2da0737a0ecd4456ff5b57e19cc58ce2fa13d1e9d3b89d3922317</vt:lpwstr>
  </property>
</Properties>
</file>